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810"/>
        <w:gridCol w:w="720"/>
        <w:gridCol w:w="294"/>
        <w:gridCol w:w="66"/>
        <w:gridCol w:w="2520"/>
        <w:gridCol w:w="1350"/>
        <w:gridCol w:w="1080"/>
        <w:gridCol w:w="1368"/>
      </w:tblGrid>
      <w:tr w:rsidR="00BE3A78" w:rsidTr="00BE3A78"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OSNOVNE STUDIJE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GODINA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78" w:rsidRPr="00EF2196" w:rsidRDefault="00EF2196">
            <w:pPr>
              <w:spacing w:after="0"/>
            </w:pPr>
            <w:r>
              <w:t>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SEMESTAR 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78" w:rsidRDefault="00EF2196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</w:tr>
      <w:tr w:rsidR="00BE3A78" w:rsidTr="00BE3A78">
        <w:tc>
          <w:tcPr>
            <w:tcW w:w="2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NAZIV PREDMETA</w:t>
            </w:r>
          </w:p>
        </w:tc>
        <w:tc>
          <w:tcPr>
            <w:tcW w:w="6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78" w:rsidRDefault="00EF2196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Srpski jezik</w:t>
            </w:r>
          </w:p>
        </w:tc>
      </w:tr>
      <w:tr w:rsidR="00BE3A78" w:rsidTr="00BE3A78">
        <w:tc>
          <w:tcPr>
            <w:tcW w:w="2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NASTAVNIK</w:t>
            </w:r>
          </w:p>
        </w:tc>
        <w:tc>
          <w:tcPr>
            <w:tcW w:w="6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78" w:rsidRDefault="002F099C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D</w:t>
            </w:r>
            <w:r w:rsidR="00EF2196">
              <w:rPr>
                <w:lang w:val="sr-Latn-CS"/>
              </w:rPr>
              <w:t>r Milena Zorić</w:t>
            </w:r>
          </w:p>
        </w:tc>
      </w:tr>
      <w:tr w:rsidR="00BE3A78" w:rsidTr="00BE3A78">
        <w:tc>
          <w:tcPr>
            <w:tcW w:w="2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ASISTENT</w:t>
            </w:r>
            <w:r>
              <w:rPr>
                <w:b/>
                <w:strike/>
                <w:lang w:val="sr-Latn-CS"/>
              </w:rPr>
              <w:t>A</w:t>
            </w:r>
            <w:r>
              <w:rPr>
                <w:b/>
                <w:lang w:val="sr-Latn-CS"/>
              </w:rPr>
              <w:t xml:space="preserve"> / SARDANIK</w:t>
            </w:r>
            <w:r>
              <w:rPr>
                <w:b/>
                <w:strike/>
                <w:lang w:val="sr-Latn-CS"/>
              </w:rPr>
              <w:t>A</w:t>
            </w:r>
          </w:p>
        </w:tc>
        <w:tc>
          <w:tcPr>
            <w:tcW w:w="6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78" w:rsidRDefault="002F099C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Msr Ivana Mijić Nemet</w:t>
            </w:r>
          </w:p>
        </w:tc>
      </w:tr>
      <w:tr w:rsidR="00BE3A7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PREDAVANJA</w:t>
            </w:r>
          </w:p>
        </w:tc>
      </w:tr>
      <w:tr w:rsidR="00BE3A7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Nedelje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Tema</w:t>
            </w:r>
          </w:p>
        </w:tc>
      </w:tr>
      <w:tr w:rsidR="00BE3A7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78" w:rsidRDefault="00EF2196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Jezik; Standardni jezik; Narečje, Dijalekat; Govor</w:t>
            </w:r>
            <w:r w:rsidR="00461704">
              <w:rPr>
                <w:lang w:val="sr-Latn-CS"/>
              </w:rPr>
              <w:t>.</w:t>
            </w:r>
          </w:p>
        </w:tc>
      </w:tr>
      <w:tr w:rsidR="00BE3A7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78" w:rsidRDefault="00EF2196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Standardni srpski jezik</w:t>
            </w:r>
            <w:r w:rsidR="00461704">
              <w:rPr>
                <w:lang w:val="sr-Latn-CS"/>
              </w:rPr>
              <w:t>.</w:t>
            </w:r>
          </w:p>
        </w:tc>
      </w:tr>
      <w:tr w:rsidR="00BE3A7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A78" w:rsidRDefault="00BE3A7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A78" w:rsidRPr="001014A8" w:rsidRDefault="001014A8" w:rsidP="00EF2196">
            <w:pPr>
              <w:spacing w:after="0"/>
            </w:pP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standardni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književni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; </w:t>
            </w:r>
            <w:proofErr w:type="spellStart"/>
            <w:r>
              <w:t>Dijalekti</w:t>
            </w:r>
            <w:proofErr w:type="spellEnd"/>
            <w:r>
              <w:t xml:space="preserve"> </w:t>
            </w:r>
            <w:proofErr w:type="spellStart"/>
            <w:r>
              <w:t>standardnog</w:t>
            </w:r>
            <w:proofErr w:type="spellEnd"/>
            <w:r>
              <w:t xml:space="preserve"> </w:t>
            </w:r>
            <w:proofErr w:type="spellStart"/>
            <w:r>
              <w:t>srpskog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>.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 w:rsidP="0014212A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Govorni organi; Fonetika i fonologija; Akustička svojstva glasova standardnog srpskog jezika; Teški glasovi.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 w:rsidP="00387F7C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Podela glasova prema mestu i načinu tvorbe.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 w:rsidP="002F7FDE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Automatske glasovne promene.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 w:rsidP="00DF5C6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Automatske glasovne promene – izuzeci.</w:t>
            </w:r>
          </w:p>
        </w:tc>
      </w:tr>
      <w:tr w:rsidR="001014A8" w:rsidTr="00461704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4A8" w:rsidRDefault="001014A8" w:rsidP="00E110A6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 kolokvijum.</w:t>
            </w:r>
          </w:p>
        </w:tc>
      </w:tr>
      <w:tr w:rsidR="001014A8" w:rsidTr="00461704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Istorijski uslovljene glasovne promene.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Istorijski uslovljene glasovne promene – izuzeci.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Prozodijski sistem standardnog srpskog jezika.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XII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 w:rsidP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Akcenatska celina, enklitike i proklitike.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XIII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Rečenični akcenat.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XIV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542F4D" w:rsidP="00542F4D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Morfosintaksa i sintaksa padeža – upućivanje na pravilnu upotrebu.</w:t>
            </w:r>
            <w:r w:rsidR="001014A8">
              <w:rPr>
                <w:lang w:val="sr-Latn-CS"/>
              </w:rPr>
              <w:t>.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XV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542F4D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II kolokvijum</w:t>
            </w:r>
          </w:p>
        </w:tc>
      </w:tr>
      <w:tr w:rsidR="001014A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LITERATURA  </w:t>
            </w:r>
          </w:p>
        </w:tc>
      </w:tr>
      <w:tr w:rsidR="001014A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 w:rsidP="00461704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Stanojčić, Ž i Lj. Popović (1995). </w:t>
            </w:r>
            <w:r w:rsidRPr="004D5ED7">
              <w:rPr>
                <w:i/>
                <w:lang w:val="sr-Latn-CS"/>
              </w:rPr>
              <w:t>Gramatika srpskoga jezika. Udžbenik za I, II, III i IV razred srednje škole</w:t>
            </w:r>
            <w:r>
              <w:rPr>
                <w:lang w:val="sr-Latn-CS"/>
              </w:rPr>
              <w:t>. Beograd: Zavod za udžbenike i nastavna sredstva. Str.: 5 – 62. (Mogu i druga izdanja udžbenika.)</w:t>
            </w:r>
          </w:p>
        </w:tc>
      </w:tr>
      <w:tr w:rsidR="001014A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Pešikan, M., J. Jerković, M. Pižurica (2010). </w:t>
            </w:r>
            <w:r w:rsidRPr="004D5ED7">
              <w:rPr>
                <w:i/>
                <w:lang w:val="sr-Latn-CS"/>
              </w:rPr>
              <w:t>Pravopis srpskoga jezika</w:t>
            </w:r>
            <w:r>
              <w:rPr>
                <w:lang w:val="sr-Latn-CS"/>
              </w:rPr>
              <w:t>. Novi Sad: Matica srpska. Str.: 55 – 159.</w:t>
            </w:r>
          </w:p>
        </w:tc>
      </w:tr>
      <w:tr w:rsidR="001014A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Klajn, I. </w:t>
            </w:r>
            <w:r w:rsidRPr="004D5ED7">
              <w:rPr>
                <w:i/>
                <w:lang w:val="sr-Latn-CS"/>
              </w:rPr>
              <w:t>Rečnik jezičkih nedoumica</w:t>
            </w:r>
            <w:r>
              <w:rPr>
                <w:lang w:val="sr-Latn-CS"/>
              </w:rPr>
              <w:t>. – Bilo koje izdanje.</w:t>
            </w:r>
          </w:p>
        </w:tc>
      </w:tr>
      <w:tr w:rsidR="001014A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A8" w:rsidRDefault="001014A8">
            <w:pPr>
              <w:spacing w:after="0"/>
              <w:rPr>
                <w:lang w:val="sr-Latn-CS"/>
              </w:rPr>
            </w:pPr>
          </w:p>
        </w:tc>
      </w:tr>
      <w:tr w:rsidR="001014A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VEŽBE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Nedelje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Tema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</w:pPr>
            <w:r>
              <w:rPr>
                <w:rFonts w:ascii="Times New Roman" w:hAnsi="Times New Roman" w:cs="Times New Roman"/>
                <w:lang w:val="sr-Latn-CS"/>
              </w:rPr>
              <w:t xml:space="preserve">Uvodni </w:t>
            </w:r>
            <w:proofErr w:type="spellStart"/>
            <w:r>
              <w:rPr>
                <w:rFonts w:ascii="Times New Roman" w:hAnsi="Times New Roman" w:cs="Times New Roman"/>
              </w:rPr>
              <w:t>čas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upoznavanje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</w:rPr>
              <w:t>erat</w:t>
            </w:r>
            <w:r>
              <w:t>urom</w:t>
            </w:r>
            <w:proofErr w:type="spellEnd"/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Pravopis – </w:t>
            </w:r>
            <w:r>
              <w:rPr>
                <w:rFonts w:ascii="Times New Roman" w:hAnsi="Times New Roman" w:cs="Times New Roman"/>
                <w:lang w:val="sr-Latn-CS"/>
              </w:rPr>
              <w:t>pravila o upo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</w:t>
            </w:r>
            <w:r>
              <w:t>rebi</w:t>
            </w:r>
            <w:proofErr w:type="spellEnd"/>
            <w:r>
              <w:t xml:space="preserve"> </w:t>
            </w:r>
            <w:proofErr w:type="spellStart"/>
            <w:r>
              <w:t>velikog</w:t>
            </w:r>
            <w:proofErr w:type="spellEnd"/>
            <w:r>
              <w:t xml:space="preserve"> </w:t>
            </w:r>
            <w:proofErr w:type="spellStart"/>
            <w:r>
              <w:t>slova</w:t>
            </w:r>
            <w:proofErr w:type="spellEnd"/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</w:pPr>
            <w:r>
              <w:rPr>
                <w:lang w:val="sr-Latn-CS"/>
              </w:rPr>
              <w:t xml:space="preserve">Pravopis – </w:t>
            </w:r>
            <w:proofErr w:type="spellStart"/>
            <w:r>
              <w:t>vežbanje</w:t>
            </w:r>
            <w:proofErr w:type="spellEnd"/>
            <w:r>
              <w:t xml:space="preserve"> </w:t>
            </w:r>
            <w:proofErr w:type="spellStart"/>
            <w:r>
              <w:t>upo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</w:t>
            </w:r>
            <w:r>
              <w:t>rebe</w:t>
            </w:r>
            <w:proofErr w:type="spellEnd"/>
            <w:r>
              <w:t xml:space="preserve"> </w:t>
            </w:r>
            <w:proofErr w:type="spellStart"/>
            <w:r>
              <w:t>velikog</w:t>
            </w:r>
            <w:proofErr w:type="spellEnd"/>
            <w:r>
              <w:t xml:space="preserve"> </w:t>
            </w:r>
            <w:proofErr w:type="spellStart"/>
            <w:r>
              <w:t>slova</w:t>
            </w:r>
            <w:proofErr w:type="spellEnd"/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 w:rsidP="007D4145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Pravopis – pravila o spojenom i odvojenom pisanju reči</w:t>
            </w:r>
            <w:r w:rsidR="007D4145">
              <w:rPr>
                <w:lang w:val="sr-Latn-CS"/>
              </w:rPr>
              <w:t>.</w:t>
            </w:r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 w:rsidP="007D4145">
            <w:pPr>
              <w:spacing w:after="0"/>
            </w:pPr>
            <w:r>
              <w:rPr>
                <w:lang w:val="sr-Latn-CS"/>
              </w:rPr>
              <w:t>Pravopis – primenjivanje pravila o spojenom i odvojenom pisanju reči kro</w:t>
            </w:r>
            <w:r>
              <w:t xml:space="preserve">z </w:t>
            </w:r>
            <w:proofErr w:type="spellStart"/>
            <w:r>
              <w:t>vežbe</w:t>
            </w:r>
            <w:proofErr w:type="spellEnd"/>
          </w:p>
        </w:tc>
      </w:tr>
      <w:tr w:rsidR="001014A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Default="001014A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A8" w:rsidRPr="007D4145" w:rsidRDefault="007D4145">
            <w:pPr>
              <w:spacing w:after="0"/>
            </w:pPr>
            <w:proofErr w:type="spellStart"/>
            <w:r>
              <w:t>Pravopis</w:t>
            </w:r>
            <w:proofErr w:type="spellEnd"/>
            <w:r>
              <w:t xml:space="preserve"> – </w:t>
            </w:r>
            <w:proofErr w:type="spellStart"/>
            <w:r>
              <w:t>pravila</w:t>
            </w:r>
            <w:proofErr w:type="spellEnd"/>
            <w:r>
              <w:t xml:space="preserve"> o </w:t>
            </w:r>
            <w:proofErr w:type="spellStart"/>
            <w:r>
              <w:t>pisanju</w:t>
            </w:r>
            <w:proofErr w:type="spellEnd"/>
            <w:r>
              <w:t xml:space="preserve"> </w:t>
            </w:r>
            <w:proofErr w:type="spellStart"/>
            <w:r>
              <w:t>skraćenica</w:t>
            </w:r>
            <w:proofErr w:type="spellEnd"/>
            <w:r>
              <w:t>.</w:t>
            </w:r>
          </w:p>
        </w:tc>
      </w:tr>
      <w:tr w:rsidR="00097E7F" w:rsidTr="007D4145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7E7F" w:rsidRDefault="00097E7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7E7F" w:rsidRDefault="007D4145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Pravopis – primenjivanje pravila o pisanju skraćenica kroz vežbe.</w:t>
            </w:r>
          </w:p>
        </w:tc>
      </w:tr>
      <w:tr w:rsidR="007D4145" w:rsidTr="007D4145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D4145" w:rsidRDefault="007D4145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4145" w:rsidRDefault="007D4145" w:rsidP="00BB0B57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Pravopis – pravila in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</w:t>
            </w:r>
            <w:r>
              <w:t>erpunkcije</w:t>
            </w:r>
            <w:proofErr w:type="spellEnd"/>
          </w:p>
        </w:tc>
      </w:tr>
      <w:tr w:rsidR="007D4145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145" w:rsidRDefault="007D4145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145" w:rsidRDefault="007D4145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Pravopis – vežbanje in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</w:t>
            </w:r>
            <w:r>
              <w:t>erpunkcije</w:t>
            </w:r>
            <w:proofErr w:type="spellEnd"/>
          </w:p>
        </w:tc>
      </w:tr>
      <w:tr w:rsidR="007D4145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145" w:rsidRDefault="007D4145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145" w:rsidRDefault="007D4145">
            <w:pPr>
              <w:spacing w:after="0"/>
            </w:pPr>
            <w:r>
              <w:rPr>
                <w:lang w:val="sr-Latn-CS"/>
              </w:rPr>
              <w:t>Podela re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slogove</w:t>
            </w:r>
            <w:proofErr w:type="spellEnd"/>
            <w:r>
              <w:t xml:space="preserve"> –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vežbe</w:t>
            </w:r>
            <w:proofErr w:type="spellEnd"/>
            <w:r>
              <w:t xml:space="preserve">; </w:t>
            </w:r>
            <w:proofErr w:type="spellStart"/>
            <w:r>
              <w:t>podela</w:t>
            </w:r>
            <w:proofErr w:type="spellEnd"/>
            <w:r>
              <w:t xml:space="preserve"> </w:t>
            </w:r>
            <w:proofErr w:type="spellStart"/>
            <w:r>
              <w:t>reč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kraju</w:t>
            </w:r>
            <w:proofErr w:type="spellEnd"/>
            <w:r>
              <w:t xml:space="preserve"> </w:t>
            </w:r>
            <w:proofErr w:type="spellStart"/>
            <w:r>
              <w:t>reda</w:t>
            </w:r>
            <w:proofErr w:type="spellEnd"/>
          </w:p>
        </w:tc>
      </w:tr>
      <w:tr w:rsidR="007D4145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145" w:rsidRDefault="007D4145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145" w:rsidRDefault="007D4145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Pravopis - sis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</w:t>
            </w:r>
            <w:r>
              <w:t>ematizacija</w:t>
            </w:r>
            <w:proofErr w:type="spellEnd"/>
          </w:p>
        </w:tc>
      </w:tr>
      <w:tr w:rsidR="00FC268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 w:rsidP="00FC5113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XIIV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 w:rsidP="00FC5113">
            <w:pPr>
              <w:spacing w:after="0"/>
            </w:pPr>
            <w:r>
              <w:rPr>
                <w:lang w:val="sr-Latn-CS"/>
              </w:rPr>
              <w:t>Funkcionalna pismenos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</w:t>
            </w:r>
            <w:r>
              <w:t xml:space="preserve"> – </w:t>
            </w:r>
            <w:proofErr w:type="spellStart"/>
            <w:r>
              <w:t>funkcionalni</w:t>
            </w:r>
            <w:proofErr w:type="spellEnd"/>
            <w:r>
              <w:t xml:space="preserve"> </w:t>
            </w:r>
            <w:proofErr w:type="spellStart"/>
            <w:r>
              <w:t>stilovi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njihovo</w:t>
            </w:r>
            <w:proofErr w:type="spellEnd"/>
            <w:r>
              <w:t xml:space="preserve"> </w:t>
            </w:r>
            <w:proofErr w:type="spellStart"/>
            <w:r>
              <w:t>prepoznavanje</w:t>
            </w:r>
            <w:proofErr w:type="spellEnd"/>
            <w:r>
              <w:t>.</w:t>
            </w:r>
          </w:p>
        </w:tc>
      </w:tr>
      <w:tr w:rsidR="00FC268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 w:rsidP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XIII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 w:rsidP="00FC5113">
            <w:pPr>
              <w:spacing w:after="0"/>
            </w:pPr>
            <w:r>
              <w:rPr>
                <w:lang w:val="sr-Latn-CS"/>
              </w:rPr>
              <w:t>Funkcionalna pismenos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</w:t>
            </w:r>
            <w:r>
              <w:t xml:space="preserve"> – </w:t>
            </w:r>
            <w:proofErr w:type="spellStart"/>
            <w:r>
              <w:t>veština</w:t>
            </w:r>
            <w:proofErr w:type="spellEnd"/>
            <w:r>
              <w:t xml:space="preserve"> </w:t>
            </w:r>
            <w:proofErr w:type="spellStart"/>
            <w:r>
              <w:t>čitanja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razumevanja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čit</w:t>
            </w:r>
            <w:r>
              <w:t>anog</w:t>
            </w:r>
            <w:proofErr w:type="spellEnd"/>
          </w:p>
        </w:tc>
      </w:tr>
      <w:tr w:rsidR="00FC268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XIV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 w:rsidP="00E9546D">
            <w:pPr>
              <w:spacing w:after="0"/>
            </w:pPr>
            <w:r>
              <w:rPr>
                <w:lang w:val="sr-Latn-CS"/>
              </w:rPr>
              <w:t>Funkcionalna pismenos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</w:t>
            </w:r>
            <w:r>
              <w:t xml:space="preserve"> – </w:t>
            </w:r>
            <w:proofErr w:type="spellStart"/>
            <w:r>
              <w:t>pisanje</w:t>
            </w:r>
            <w:proofErr w:type="spellEnd"/>
            <w:r>
              <w:t xml:space="preserve"> </w:t>
            </w:r>
            <w:proofErr w:type="spellStart"/>
            <w:r>
              <w:t>privatnih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pisama</w:t>
            </w:r>
            <w:proofErr w:type="spellEnd"/>
            <w:r>
              <w:t xml:space="preserve">, </w:t>
            </w:r>
            <w:proofErr w:type="spellStart"/>
            <w:r>
              <w:t>molbi</w:t>
            </w:r>
            <w:proofErr w:type="spellEnd"/>
            <w: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žalbi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FC2688" w:rsidTr="00BE3A7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 w:rsidP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XV</w:t>
            </w:r>
          </w:p>
        </w:tc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</w:pPr>
            <w:r>
              <w:rPr>
                <w:lang w:val="sr-Latn-CS"/>
              </w:rPr>
              <w:t>Funkcionalna pismenos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popunjavanje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formulara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FC268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</w:tr>
      <w:tr w:rsidR="00FC268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</w:tr>
      <w:tr w:rsidR="00FC268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</w:tr>
      <w:tr w:rsidR="00FC268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</w:tr>
      <w:tr w:rsidR="00FC268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</w:tr>
      <w:tr w:rsidR="00FC2688" w:rsidTr="00BE3A78">
        <w:trPr>
          <w:trHeight w:val="90"/>
        </w:trPr>
        <w:tc>
          <w:tcPr>
            <w:tcW w:w="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PREDISPITNE AKTIVNOSTI </w:t>
            </w:r>
          </w:p>
        </w:tc>
        <w:tc>
          <w:tcPr>
            <w:tcW w:w="5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Planirana nedelja u semestru /datum, napomena o ocenjivanju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BODOVI</w:t>
            </w:r>
          </w:p>
        </w:tc>
      </w:tr>
      <w:tr w:rsidR="00FC2688" w:rsidTr="00BE3A78">
        <w:trPr>
          <w:trHeight w:val="90"/>
        </w:trPr>
        <w:tc>
          <w:tcPr>
            <w:tcW w:w="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Vežbe</w:t>
            </w:r>
          </w:p>
        </w:tc>
        <w:tc>
          <w:tcPr>
            <w:tcW w:w="5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FC2688" w:rsidTr="00BE3A78">
        <w:trPr>
          <w:trHeight w:val="90"/>
        </w:trPr>
        <w:tc>
          <w:tcPr>
            <w:tcW w:w="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Kolokvijum I</w:t>
            </w:r>
          </w:p>
        </w:tc>
        <w:tc>
          <w:tcPr>
            <w:tcW w:w="5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</w:p>
        </w:tc>
      </w:tr>
      <w:tr w:rsidR="00FC2688" w:rsidTr="00BE3A78">
        <w:tc>
          <w:tcPr>
            <w:tcW w:w="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Kolokvijum  II</w:t>
            </w:r>
          </w:p>
        </w:tc>
        <w:tc>
          <w:tcPr>
            <w:tcW w:w="5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XV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</w:p>
        </w:tc>
      </w:tr>
      <w:tr w:rsidR="00FC2688" w:rsidTr="00BE3A78">
        <w:tc>
          <w:tcPr>
            <w:tcW w:w="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Kolokvijum III</w:t>
            </w:r>
          </w:p>
        </w:tc>
        <w:tc>
          <w:tcPr>
            <w:tcW w:w="5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nema</w:t>
            </w:r>
          </w:p>
        </w:tc>
      </w:tr>
      <w:tr w:rsidR="00FC2688" w:rsidTr="00BE3A78">
        <w:tc>
          <w:tcPr>
            <w:tcW w:w="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Seminarski rad</w:t>
            </w:r>
          </w:p>
        </w:tc>
        <w:tc>
          <w:tcPr>
            <w:tcW w:w="5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nema</w:t>
            </w:r>
          </w:p>
        </w:tc>
      </w:tr>
      <w:tr w:rsidR="00FC2688" w:rsidTr="00BE3A78">
        <w:tc>
          <w:tcPr>
            <w:tcW w:w="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Terenski rad</w:t>
            </w:r>
          </w:p>
        </w:tc>
        <w:tc>
          <w:tcPr>
            <w:tcW w:w="5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nema</w:t>
            </w:r>
          </w:p>
        </w:tc>
      </w:tr>
      <w:tr w:rsidR="00FC2688" w:rsidTr="00BE3A78">
        <w:tc>
          <w:tcPr>
            <w:tcW w:w="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</w:p>
        </w:tc>
      </w:tr>
      <w:tr w:rsidR="00FC2688" w:rsidTr="00BE3A78"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ISPITNE AKTIVNOSTI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BODOVI</w:t>
            </w:r>
          </w:p>
        </w:tc>
      </w:tr>
      <w:tr w:rsidR="00FC2688" w:rsidTr="00BE3A78"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Ispit – pismeni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</w:p>
        </w:tc>
      </w:tr>
      <w:tr w:rsidR="00FC2688" w:rsidTr="00BE3A78">
        <w:tc>
          <w:tcPr>
            <w:tcW w:w="8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Ispit – usmeni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nema</w:t>
            </w:r>
          </w:p>
        </w:tc>
      </w:tr>
      <w:tr w:rsidR="00FC268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88" w:rsidRDefault="00FC2688">
            <w:pPr>
              <w:spacing w:after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SPECIFIČNI USLOVI</w:t>
            </w:r>
          </w:p>
        </w:tc>
      </w:tr>
      <w:tr w:rsidR="00FC2688" w:rsidTr="00BE3A78">
        <w:tc>
          <w:tcPr>
            <w:tcW w:w="9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88" w:rsidRDefault="00FC2688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Studenti stiču uslov da polažu ispit ukoliko su polagali oba kolokvijuma i ukupno osvojili najmanje 30 bodova.</w:t>
            </w:r>
          </w:p>
        </w:tc>
      </w:tr>
    </w:tbl>
    <w:p w:rsidR="00412FB3" w:rsidRDefault="00412FB3"/>
    <w:sectPr w:rsidR="00412FB3" w:rsidSect="0041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3A78"/>
    <w:rsid w:val="00097E7F"/>
    <w:rsid w:val="000A3C6F"/>
    <w:rsid w:val="001014A8"/>
    <w:rsid w:val="00293093"/>
    <w:rsid w:val="002F099C"/>
    <w:rsid w:val="0033669C"/>
    <w:rsid w:val="00412FB3"/>
    <w:rsid w:val="00461704"/>
    <w:rsid w:val="004D1E5F"/>
    <w:rsid w:val="004D5ED7"/>
    <w:rsid w:val="004E7314"/>
    <w:rsid w:val="00542F4D"/>
    <w:rsid w:val="00677BF6"/>
    <w:rsid w:val="007A7B2E"/>
    <w:rsid w:val="007D4145"/>
    <w:rsid w:val="009B1BC6"/>
    <w:rsid w:val="00A40940"/>
    <w:rsid w:val="00BE3741"/>
    <w:rsid w:val="00BE3A78"/>
    <w:rsid w:val="00C9036A"/>
    <w:rsid w:val="00E9546D"/>
    <w:rsid w:val="00EF2196"/>
    <w:rsid w:val="00FC2688"/>
    <w:rsid w:val="00FD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78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A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</dc:creator>
  <cp:lastModifiedBy>Korisnik</cp:lastModifiedBy>
  <cp:revision>2</cp:revision>
  <dcterms:created xsi:type="dcterms:W3CDTF">2018-10-10T11:57:00Z</dcterms:created>
  <dcterms:modified xsi:type="dcterms:W3CDTF">2018-10-10T11:57:00Z</dcterms:modified>
</cp:coreProperties>
</file>